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ABE5" w14:textId="77777777" w:rsidR="002173A7" w:rsidRDefault="002173A7"/>
    <w:p w14:paraId="07044F5B" w14:textId="77777777"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14:paraId="4B64FD8C" w14:textId="57D19F64"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r w:rsidR="00D857C2">
        <w:rPr>
          <w:rFonts w:ascii="Century Gothic" w:hAnsi="Century Gothic"/>
          <w:sz w:val="22"/>
          <w:szCs w:val="22"/>
        </w:rPr>
        <w:t>October</w:t>
      </w:r>
      <w:r w:rsidR="00512670">
        <w:rPr>
          <w:rFonts w:ascii="Century Gothic" w:hAnsi="Century Gothic"/>
          <w:sz w:val="22"/>
          <w:szCs w:val="22"/>
        </w:rPr>
        <w:t xml:space="preserve"> </w:t>
      </w:r>
      <w:r w:rsidRPr="003A78C0">
        <w:rPr>
          <w:rFonts w:ascii="Century Gothic" w:hAnsi="Century Gothic"/>
          <w:sz w:val="22"/>
          <w:szCs w:val="22"/>
        </w:rPr>
        <w:t>201</w:t>
      </w:r>
      <w:r w:rsidR="00512670">
        <w:rPr>
          <w:rFonts w:ascii="Century Gothic" w:hAnsi="Century Gothic"/>
          <w:sz w:val="22"/>
          <w:szCs w:val="22"/>
        </w:rPr>
        <w:t>9</w:t>
      </w:r>
      <w:r w:rsidR="006977A9">
        <w:rPr>
          <w:rFonts w:ascii="Century Gothic" w:hAnsi="Century Gothic"/>
          <w:sz w:val="22"/>
          <w:szCs w:val="22"/>
        </w:rPr>
        <w:br/>
      </w:r>
    </w:p>
    <w:p w14:paraId="7C5FB321" w14:textId="459C2CEF" w:rsidR="006977A9" w:rsidRPr="00512670" w:rsidRDefault="0085342F" w:rsidP="00EB4243">
      <w:pPr>
        <w:autoSpaceDE w:val="0"/>
        <w:autoSpaceDN w:val="0"/>
        <w:adjustRightInd w:val="0"/>
        <w:spacing w:after="120" w:line="360" w:lineRule="auto"/>
        <w:jc w:val="center"/>
        <w:rPr>
          <w:rFonts w:ascii="Century Gothic" w:eastAsiaTheme="minorHAnsi" w:hAnsi="Century Gothic" w:cs="Calibri"/>
          <w:color w:val="000000"/>
          <w:sz w:val="30"/>
          <w:szCs w:val="30"/>
        </w:rPr>
      </w:pPr>
      <w:r>
        <w:rPr>
          <w:rFonts w:ascii="AvantGarde" w:eastAsiaTheme="minorHAnsi" w:hAnsi="AvantGarde" w:cs="Calibri-Bold"/>
          <w:bCs/>
          <w:color w:val="002060"/>
          <w:sz w:val="30"/>
          <w:szCs w:val="30"/>
        </w:rPr>
        <w:t>Jesse and Mel’s hidden advantage on The Block</w:t>
      </w:r>
    </w:p>
    <w:p w14:paraId="72794EDD" w14:textId="77777777" w:rsidR="00D857C2" w:rsidRPr="00D857C2" w:rsidRDefault="00D857C2" w:rsidP="00D857C2">
      <w:pPr>
        <w:autoSpaceDE w:val="0"/>
        <w:autoSpaceDN w:val="0"/>
        <w:adjustRightInd w:val="0"/>
        <w:spacing w:after="120" w:line="360" w:lineRule="auto"/>
        <w:rPr>
          <w:rFonts w:ascii="Century Gothic" w:hAnsi="Century Gothic"/>
          <w:sz w:val="20"/>
          <w:szCs w:val="20"/>
        </w:rPr>
      </w:pPr>
      <w:r w:rsidRPr="00D857C2">
        <w:rPr>
          <w:rFonts w:ascii="Century Gothic" w:hAnsi="Century Gothic"/>
          <w:sz w:val="20"/>
          <w:szCs w:val="20"/>
        </w:rPr>
        <w:t xml:space="preserve">Jesse and Mel’s chances of winning The Block may have increased slightly after their property was shown to hold nearly $3.68 million in tax deductions for the future buyer should they decide to rent the property out. This attribute could increase the price that property investors are willing to pay for the property and give the pair an edge during the final auction. </w:t>
      </w:r>
    </w:p>
    <w:p w14:paraId="32D35C83" w14:textId="77777777" w:rsidR="00D857C2" w:rsidRPr="00D857C2" w:rsidRDefault="00D857C2" w:rsidP="00D857C2">
      <w:pPr>
        <w:autoSpaceDE w:val="0"/>
        <w:autoSpaceDN w:val="0"/>
        <w:adjustRightInd w:val="0"/>
        <w:spacing w:after="120" w:line="360" w:lineRule="auto"/>
        <w:rPr>
          <w:rFonts w:ascii="Century Gothic" w:hAnsi="Century Gothic"/>
          <w:sz w:val="20"/>
          <w:szCs w:val="20"/>
        </w:rPr>
      </w:pPr>
      <w:r w:rsidRPr="00D857C2">
        <w:rPr>
          <w:rFonts w:ascii="Century Gothic" w:hAnsi="Century Gothic"/>
          <w:sz w:val="20"/>
          <w:szCs w:val="20"/>
        </w:rPr>
        <w:t xml:space="preserve">The Australian Taxation Office allows owners of income producing properties to claim deductions for the wear and tear that occurs as a building gets older and items within it wear out. Each property is unique and holds different depreciation benefits.  </w:t>
      </w:r>
    </w:p>
    <w:p w14:paraId="7190DA8A" w14:textId="77777777" w:rsidR="00D857C2" w:rsidRPr="00D857C2" w:rsidRDefault="00D857C2" w:rsidP="00D857C2">
      <w:pPr>
        <w:autoSpaceDE w:val="0"/>
        <w:autoSpaceDN w:val="0"/>
        <w:adjustRightInd w:val="0"/>
        <w:spacing w:after="120" w:line="360" w:lineRule="auto"/>
        <w:rPr>
          <w:rFonts w:ascii="Century Gothic" w:hAnsi="Century Gothic"/>
          <w:sz w:val="20"/>
          <w:szCs w:val="20"/>
        </w:rPr>
      </w:pPr>
      <w:r w:rsidRPr="00D857C2">
        <w:rPr>
          <w:rFonts w:ascii="Century Gothic" w:hAnsi="Century Gothic"/>
          <w:sz w:val="20"/>
          <w:szCs w:val="20"/>
        </w:rPr>
        <w:t xml:space="preserve">BMT Tax Depreciation has worked with more than half a million Australian property investors to help uncover these lucrative tax deductions and recently assessed The Block apartments for their hidden depreciation values. </w:t>
      </w:r>
    </w:p>
    <w:p w14:paraId="5D1CCEE0" w14:textId="02706669" w:rsidR="00D857C2" w:rsidRPr="00D857C2" w:rsidRDefault="00D857C2" w:rsidP="00D857C2">
      <w:pPr>
        <w:autoSpaceDE w:val="0"/>
        <w:autoSpaceDN w:val="0"/>
        <w:adjustRightInd w:val="0"/>
        <w:spacing w:after="120" w:line="360" w:lineRule="auto"/>
        <w:rPr>
          <w:rFonts w:ascii="Century Gothic" w:hAnsi="Century Gothic"/>
          <w:sz w:val="20"/>
          <w:szCs w:val="20"/>
        </w:rPr>
      </w:pPr>
      <w:r w:rsidRPr="00D857C2">
        <w:rPr>
          <w:rFonts w:ascii="Century Gothic" w:hAnsi="Century Gothic"/>
          <w:sz w:val="20"/>
          <w:szCs w:val="20"/>
        </w:rPr>
        <w:t xml:space="preserve"> </w:t>
      </w:r>
      <w:r>
        <w:rPr>
          <w:noProof/>
        </w:rPr>
        <w:drawing>
          <wp:inline distT="0" distB="0" distL="0" distR="0" wp14:anchorId="2D157D8C" wp14:editId="2C7E2E91">
            <wp:extent cx="4237990" cy="4858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237990" cy="4858385"/>
                    </a:xfrm>
                    <a:prstGeom prst="rect">
                      <a:avLst/>
                    </a:prstGeom>
                    <a:noFill/>
                    <a:ln>
                      <a:noFill/>
                    </a:ln>
                  </pic:spPr>
                </pic:pic>
              </a:graphicData>
            </a:graphic>
          </wp:inline>
        </w:drawing>
      </w:r>
    </w:p>
    <w:p w14:paraId="35395333" w14:textId="379AFBB9" w:rsidR="00D857C2" w:rsidRPr="00D857C2" w:rsidRDefault="00D857C2" w:rsidP="00D857C2">
      <w:pPr>
        <w:autoSpaceDE w:val="0"/>
        <w:autoSpaceDN w:val="0"/>
        <w:adjustRightInd w:val="0"/>
        <w:spacing w:after="120" w:line="360" w:lineRule="auto"/>
        <w:rPr>
          <w:rFonts w:ascii="Century Gothic" w:hAnsi="Century Gothic"/>
          <w:sz w:val="20"/>
          <w:szCs w:val="20"/>
        </w:rPr>
      </w:pPr>
      <w:r>
        <w:rPr>
          <w:rFonts w:ascii="Century Gothic" w:hAnsi="Century Gothic"/>
          <w:sz w:val="20"/>
          <w:szCs w:val="20"/>
        </w:rPr>
        <w:lastRenderedPageBreak/>
        <w:br/>
      </w:r>
      <w:r w:rsidRPr="00D857C2">
        <w:rPr>
          <w:rFonts w:ascii="Century Gothic" w:hAnsi="Century Gothic"/>
          <w:sz w:val="20"/>
          <w:szCs w:val="20"/>
        </w:rPr>
        <w:t xml:space="preserve">The CEO of BMT, Bradley Beer said that while Jesse and Mel had a slight edge when it came to tax deductions, the field was very close this year. </w:t>
      </w:r>
    </w:p>
    <w:p w14:paraId="73398D9C" w14:textId="77777777" w:rsidR="00D857C2" w:rsidRPr="00D857C2" w:rsidRDefault="00D857C2" w:rsidP="00D857C2">
      <w:pPr>
        <w:autoSpaceDE w:val="0"/>
        <w:autoSpaceDN w:val="0"/>
        <w:adjustRightInd w:val="0"/>
        <w:spacing w:after="120" w:line="360" w:lineRule="auto"/>
        <w:rPr>
          <w:rFonts w:ascii="Century Gothic" w:hAnsi="Century Gothic"/>
          <w:sz w:val="20"/>
          <w:szCs w:val="20"/>
        </w:rPr>
      </w:pPr>
      <w:r w:rsidRPr="00D857C2">
        <w:rPr>
          <w:rFonts w:ascii="Century Gothic" w:hAnsi="Century Gothic"/>
          <w:sz w:val="20"/>
          <w:szCs w:val="20"/>
        </w:rPr>
        <w:t xml:space="preserve">“Smart property investors will often make note of the depreciation potential of properties and use that data to help inform the offers they make. </w:t>
      </w:r>
    </w:p>
    <w:p w14:paraId="01FAA1D2" w14:textId="77777777" w:rsidR="00D857C2" w:rsidRPr="00D857C2" w:rsidRDefault="00D857C2" w:rsidP="00D857C2">
      <w:pPr>
        <w:autoSpaceDE w:val="0"/>
        <w:autoSpaceDN w:val="0"/>
        <w:adjustRightInd w:val="0"/>
        <w:spacing w:after="120" w:line="360" w:lineRule="auto"/>
        <w:rPr>
          <w:rFonts w:ascii="Century Gothic" w:hAnsi="Century Gothic"/>
          <w:sz w:val="20"/>
          <w:szCs w:val="20"/>
        </w:rPr>
      </w:pPr>
      <w:r w:rsidRPr="00D857C2">
        <w:rPr>
          <w:rFonts w:ascii="Century Gothic" w:hAnsi="Century Gothic"/>
          <w:sz w:val="20"/>
          <w:szCs w:val="20"/>
        </w:rPr>
        <w:t xml:space="preserve">“While Jesse and Mel’s property holds the most total deductions, Mitch and Mark ($3.65 million) and Andy and Deb ($3.63 million) are hot on their heels.”  </w:t>
      </w:r>
    </w:p>
    <w:p w14:paraId="071EAA6B" w14:textId="77777777" w:rsidR="00D857C2" w:rsidRPr="00D857C2" w:rsidRDefault="00D857C2" w:rsidP="00D857C2">
      <w:pPr>
        <w:autoSpaceDE w:val="0"/>
        <w:autoSpaceDN w:val="0"/>
        <w:adjustRightInd w:val="0"/>
        <w:spacing w:after="120" w:line="360" w:lineRule="auto"/>
        <w:rPr>
          <w:rFonts w:ascii="Century Gothic" w:hAnsi="Century Gothic"/>
          <w:sz w:val="20"/>
          <w:szCs w:val="20"/>
        </w:rPr>
      </w:pPr>
      <w:r w:rsidRPr="00D857C2">
        <w:rPr>
          <w:rFonts w:ascii="Century Gothic" w:hAnsi="Century Gothic"/>
          <w:sz w:val="20"/>
          <w:szCs w:val="20"/>
        </w:rPr>
        <w:t xml:space="preserve">The BMT assessment showed that Tess and Luke had the property with the lowest amount of tax deductions ($3.61 million) followed by </w:t>
      </w:r>
      <w:proofErr w:type="spellStart"/>
      <w:r w:rsidRPr="00D857C2">
        <w:rPr>
          <w:rFonts w:ascii="Century Gothic" w:hAnsi="Century Gothic"/>
          <w:sz w:val="20"/>
          <w:szCs w:val="20"/>
        </w:rPr>
        <w:t>El’ise</w:t>
      </w:r>
      <w:proofErr w:type="spellEnd"/>
      <w:r w:rsidRPr="00D857C2">
        <w:rPr>
          <w:rFonts w:ascii="Century Gothic" w:hAnsi="Century Gothic"/>
          <w:sz w:val="20"/>
          <w:szCs w:val="20"/>
        </w:rPr>
        <w:t xml:space="preserve"> and Matt ($3.62 million). </w:t>
      </w:r>
    </w:p>
    <w:p w14:paraId="3E7C7608" w14:textId="77777777" w:rsidR="00D857C2" w:rsidRPr="00D857C2" w:rsidRDefault="00D857C2" w:rsidP="00D857C2">
      <w:pPr>
        <w:autoSpaceDE w:val="0"/>
        <w:autoSpaceDN w:val="0"/>
        <w:adjustRightInd w:val="0"/>
        <w:spacing w:after="120" w:line="360" w:lineRule="auto"/>
        <w:rPr>
          <w:rFonts w:ascii="Century Gothic" w:hAnsi="Century Gothic"/>
          <w:sz w:val="20"/>
          <w:szCs w:val="20"/>
        </w:rPr>
      </w:pPr>
      <w:r w:rsidRPr="00D857C2">
        <w:rPr>
          <w:rFonts w:ascii="Century Gothic" w:hAnsi="Century Gothic"/>
          <w:sz w:val="20"/>
          <w:szCs w:val="20"/>
        </w:rPr>
        <w:t xml:space="preserve">Jesse and Mel’s property also held the largest amount of deductions ($138,055) claimable in the first year of ownership. This again would be of interest to property investors that are looking to </w:t>
      </w:r>
      <w:proofErr w:type="spellStart"/>
      <w:r w:rsidRPr="00D857C2">
        <w:rPr>
          <w:rFonts w:ascii="Century Gothic" w:hAnsi="Century Gothic"/>
          <w:sz w:val="20"/>
          <w:szCs w:val="20"/>
        </w:rPr>
        <w:t>maximise</w:t>
      </w:r>
      <w:proofErr w:type="spellEnd"/>
      <w:r w:rsidRPr="00D857C2">
        <w:rPr>
          <w:rFonts w:ascii="Century Gothic" w:hAnsi="Century Gothic"/>
          <w:sz w:val="20"/>
          <w:szCs w:val="20"/>
        </w:rPr>
        <w:t xml:space="preserve"> the return from any property investment.  </w:t>
      </w:r>
    </w:p>
    <w:p w14:paraId="47C8F35A" w14:textId="77777777" w:rsidR="00D857C2" w:rsidRPr="00D857C2" w:rsidRDefault="00D857C2" w:rsidP="00D857C2">
      <w:pPr>
        <w:autoSpaceDE w:val="0"/>
        <w:autoSpaceDN w:val="0"/>
        <w:adjustRightInd w:val="0"/>
        <w:spacing w:after="120" w:line="360" w:lineRule="auto"/>
        <w:rPr>
          <w:rFonts w:ascii="Century Gothic" w:hAnsi="Century Gothic"/>
          <w:sz w:val="20"/>
          <w:szCs w:val="20"/>
        </w:rPr>
      </w:pPr>
      <w:r w:rsidRPr="00D857C2">
        <w:rPr>
          <w:rFonts w:ascii="Century Gothic" w:hAnsi="Century Gothic"/>
          <w:sz w:val="20"/>
          <w:szCs w:val="20"/>
        </w:rPr>
        <w:t>The average Block property contained $131,721 in first year deductions.</w:t>
      </w:r>
    </w:p>
    <w:p w14:paraId="032CA82E" w14:textId="77777777" w:rsidR="00D857C2" w:rsidRPr="00D857C2" w:rsidRDefault="00D857C2" w:rsidP="00D857C2">
      <w:pPr>
        <w:autoSpaceDE w:val="0"/>
        <w:autoSpaceDN w:val="0"/>
        <w:adjustRightInd w:val="0"/>
        <w:spacing w:after="120" w:line="360" w:lineRule="auto"/>
        <w:rPr>
          <w:rFonts w:ascii="Century Gothic" w:hAnsi="Century Gothic"/>
          <w:sz w:val="20"/>
          <w:szCs w:val="20"/>
        </w:rPr>
      </w:pPr>
      <w:r w:rsidRPr="00D857C2">
        <w:rPr>
          <w:rFonts w:ascii="Century Gothic" w:hAnsi="Century Gothic"/>
          <w:sz w:val="20"/>
          <w:szCs w:val="20"/>
        </w:rPr>
        <w:t xml:space="preserve">“With many challenging real estate markets in Australia at present, cash flow will be a key objective for </w:t>
      </w:r>
      <w:proofErr w:type="gramStart"/>
      <w:r w:rsidRPr="00D857C2">
        <w:rPr>
          <w:rFonts w:ascii="Century Gothic" w:hAnsi="Century Gothic"/>
          <w:sz w:val="20"/>
          <w:szCs w:val="20"/>
        </w:rPr>
        <w:t>investors</w:t>
      </w:r>
      <w:proofErr w:type="gramEnd"/>
      <w:r w:rsidRPr="00D857C2">
        <w:rPr>
          <w:rFonts w:ascii="Century Gothic" w:hAnsi="Century Gothic"/>
          <w:sz w:val="20"/>
          <w:szCs w:val="20"/>
        </w:rPr>
        <w:t xml:space="preserve"> and this is where tax depreciation plays a large role,” said Bradley Beer. </w:t>
      </w:r>
    </w:p>
    <w:p w14:paraId="633C9013" w14:textId="77777777" w:rsidR="00D857C2" w:rsidRPr="00D857C2" w:rsidRDefault="00D857C2" w:rsidP="00D857C2">
      <w:pPr>
        <w:autoSpaceDE w:val="0"/>
        <w:autoSpaceDN w:val="0"/>
        <w:adjustRightInd w:val="0"/>
        <w:spacing w:after="120" w:line="360" w:lineRule="auto"/>
        <w:rPr>
          <w:rFonts w:ascii="Century Gothic" w:hAnsi="Century Gothic"/>
          <w:sz w:val="20"/>
          <w:szCs w:val="20"/>
        </w:rPr>
      </w:pPr>
      <w:r w:rsidRPr="00D857C2">
        <w:rPr>
          <w:rFonts w:ascii="Century Gothic" w:hAnsi="Century Gothic"/>
          <w:sz w:val="20"/>
          <w:szCs w:val="20"/>
        </w:rPr>
        <w:t xml:space="preserve">“Buyers looking to bid on the show and buyers in real estate markets across Australia, can make more informed decisions by understanding the depreciation values of properties and how those values will impact their cash flow,” said Bradley Beer. </w:t>
      </w:r>
    </w:p>
    <w:p w14:paraId="296CF93E" w14:textId="5A256F5D" w:rsidR="00D857C2" w:rsidRDefault="00D857C2" w:rsidP="00D857C2">
      <w:pPr>
        <w:autoSpaceDE w:val="0"/>
        <w:autoSpaceDN w:val="0"/>
        <w:adjustRightInd w:val="0"/>
        <w:spacing w:after="120" w:line="360" w:lineRule="auto"/>
        <w:rPr>
          <w:rFonts w:ascii="Century Gothic" w:hAnsi="Century Gothic"/>
          <w:sz w:val="20"/>
          <w:szCs w:val="20"/>
        </w:rPr>
      </w:pPr>
      <w:r w:rsidRPr="00D857C2">
        <w:rPr>
          <w:rFonts w:ascii="Century Gothic" w:hAnsi="Century Gothic"/>
          <w:sz w:val="20"/>
          <w:szCs w:val="20"/>
        </w:rPr>
        <w:t xml:space="preserve">BMT Tax Depreciation has been working with The Block to provide depreciation assessments for more than ten years. Property Investors interested in better understanding the tax deductions that could be available to them can </w:t>
      </w:r>
      <w:proofErr w:type="spellStart"/>
      <w:r w:rsidRPr="00D857C2">
        <w:rPr>
          <w:rFonts w:ascii="Century Gothic" w:hAnsi="Century Gothic"/>
          <w:sz w:val="20"/>
          <w:szCs w:val="20"/>
        </w:rPr>
        <w:t>utilise</w:t>
      </w:r>
      <w:proofErr w:type="spellEnd"/>
      <w:r w:rsidRPr="00D857C2">
        <w:rPr>
          <w:rFonts w:ascii="Century Gothic" w:hAnsi="Century Gothic"/>
          <w:sz w:val="20"/>
          <w:szCs w:val="20"/>
        </w:rPr>
        <w:t xml:space="preserve"> BMT’s free online tax depreciation calculator at </w:t>
      </w:r>
      <w:r w:rsidR="00474E2F">
        <w:rPr>
          <w:rFonts w:ascii="Century Gothic" w:hAnsi="Century Gothic"/>
          <w:sz w:val="20"/>
          <w:szCs w:val="20"/>
        </w:rPr>
        <w:br/>
      </w:r>
      <w:bookmarkStart w:id="0" w:name="_GoBack"/>
      <w:bookmarkEnd w:id="0"/>
      <w:r w:rsidR="00474E2F">
        <w:fldChar w:fldCharType="begin"/>
      </w:r>
      <w:r w:rsidR="00474E2F">
        <w:instrText>HYPERLINK "https://www.bmtqs.com.au/tax-depreciation-calculator"</w:instrText>
      </w:r>
      <w:r w:rsidR="00474E2F">
        <w:fldChar w:fldCharType="separate"/>
      </w:r>
      <w:r w:rsidR="00474E2F">
        <w:rPr>
          <w:rStyle w:val="Hyperlink"/>
          <w:rFonts w:ascii="Century Gothic" w:hAnsi="Century Gothic"/>
          <w:sz w:val="20"/>
          <w:szCs w:val="20"/>
        </w:rPr>
        <w:t>bmtqs.com.au/tax-depreciation-calculator</w:t>
      </w:r>
      <w:r w:rsidR="00474E2F">
        <w:rPr>
          <w:rStyle w:val="Hyperlink"/>
          <w:rFonts w:ascii="Century Gothic" w:hAnsi="Century Gothic"/>
          <w:sz w:val="20"/>
          <w:szCs w:val="20"/>
        </w:rPr>
        <w:fldChar w:fldCharType="end"/>
      </w:r>
    </w:p>
    <w:p w14:paraId="6C6F6B24" w14:textId="6A35A827" w:rsidR="006977A9" w:rsidRPr="00F55E4B" w:rsidRDefault="006977A9" w:rsidP="00D857C2">
      <w:pPr>
        <w:autoSpaceDE w:val="0"/>
        <w:autoSpaceDN w:val="0"/>
        <w:adjustRightInd w:val="0"/>
        <w:spacing w:after="120" w:line="360" w:lineRule="auto"/>
        <w:rPr>
          <w:rFonts w:ascii="Century Gothic" w:eastAsiaTheme="minorHAnsi" w:hAnsi="Century Gothic" w:cs="Calibri-Bold"/>
          <w:b/>
          <w:bCs/>
          <w:color w:val="000000"/>
          <w:sz w:val="18"/>
          <w:szCs w:val="18"/>
        </w:rPr>
      </w:pPr>
      <w:r w:rsidRPr="00512670">
        <w:rPr>
          <w:rFonts w:ascii="Century Gothic" w:eastAsiaTheme="minorHAnsi" w:hAnsi="Century Gothic" w:cs="Calibri-Bold"/>
          <w:b/>
          <w:bCs/>
          <w:color w:val="000000"/>
          <w:sz w:val="20"/>
          <w:szCs w:val="20"/>
        </w:rPr>
        <w:t xml:space="preserve">- ENDS </w:t>
      </w:r>
      <w:r w:rsidR="000C2801" w:rsidRPr="00512670">
        <w:rPr>
          <w:rFonts w:ascii="Century Gothic" w:eastAsiaTheme="minorHAnsi" w:hAnsi="Century Gothic" w:cs="Calibri-Bold"/>
          <w:b/>
          <w:bCs/>
          <w:color w:val="000000"/>
          <w:sz w:val="20"/>
          <w:szCs w:val="20"/>
        </w:rPr>
        <w:t>–</w:t>
      </w:r>
      <w:r w:rsidR="000C2801" w:rsidRPr="00F55E4B">
        <w:rPr>
          <w:rFonts w:ascii="Century Gothic" w:eastAsiaTheme="minorHAnsi" w:hAnsi="Century Gothic" w:cs="Calibri-Bold"/>
          <w:b/>
          <w:bCs/>
          <w:color w:val="000000"/>
          <w:sz w:val="18"/>
          <w:szCs w:val="18"/>
        </w:rPr>
        <w:t xml:space="preserve"> </w:t>
      </w:r>
    </w:p>
    <w:p w14:paraId="61A3C4ED" w14:textId="093C75EE" w:rsidR="002173A7" w:rsidRPr="00512670" w:rsidRDefault="003A78C0">
      <w:pPr>
        <w:rPr>
          <w:rFonts w:ascii="Century Gothic" w:hAnsi="Century Gothic"/>
          <w:sz w:val="20"/>
          <w:szCs w:val="20"/>
        </w:rPr>
      </w:pPr>
      <w:r w:rsidRPr="00512670">
        <w:rPr>
          <w:rFonts w:ascii="Century Gothic" w:hAnsi="Century Gothic"/>
          <w:b/>
          <w:sz w:val="20"/>
          <w:szCs w:val="20"/>
        </w:rPr>
        <w:t>For all media enquires please contact:</w:t>
      </w:r>
      <w:r w:rsidRPr="00512670">
        <w:rPr>
          <w:rFonts w:ascii="Century Gothic" w:hAnsi="Century Gothic"/>
          <w:b/>
          <w:sz w:val="20"/>
          <w:szCs w:val="20"/>
        </w:rPr>
        <w:br/>
      </w:r>
      <w:r w:rsidRPr="00512670">
        <w:rPr>
          <w:rFonts w:ascii="Century Gothic" w:hAnsi="Century Gothic"/>
          <w:sz w:val="20"/>
          <w:szCs w:val="20"/>
        </w:rPr>
        <w:br/>
        <w:t xml:space="preserve">Bradley Beer </w:t>
      </w:r>
      <w:r w:rsidRPr="00512670">
        <w:rPr>
          <w:rFonts w:ascii="Century Gothic" w:hAnsi="Century Gothic"/>
          <w:sz w:val="20"/>
          <w:szCs w:val="20"/>
        </w:rPr>
        <w:br/>
        <w:t xml:space="preserve">CEO, BMT Tax Depreciation </w:t>
      </w:r>
      <w:r w:rsidRPr="00512670">
        <w:rPr>
          <w:rFonts w:ascii="Century Gothic" w:hAnsi="Century Gothic"/>
          <w:sz w:val="20"/>
          <w:szCs w:val="20"/>
        </w:rPr>
        <w:br/>
      </w:r>
      <w:r w:rsidRPr="00512670">
        <w:rPr>
          <w:rFonts w:ascii="Century Gothic" w:hAnsi="Century Gothic"/>
          <w:sz w:val="20"/>
          <w:szCs w:val="20"/>
        </w:rPr>
        <w:br/>
        <w:t>Phone:</w:t>
      </w:r>
      <w:r w:rsidRPr="00512670">
        <w:rPr>
          <w:rFonts w:ascii="Century Gothic" w:hAnsi="Century Gothic"/>
          <w:sz w:val="20"/>
          <w:szCs w:val="20"/>
        </w:rPr>
        <w:tab/>
        <w:t xml:space="preserve">0413 271 777 </w:t>
      </w:r>
      <w:r w:rsidRPr="00512670">
        <w:rPr>
          <w:rFonts w:ascii="Century Gothic" w:hAnsi="Century Gothic"/>
          <w:sz w:val="20"/>
          <w:szCs w:val="20"/>
        </w:rPr>
        <w:br/>
        <w:t>Email:</w:t>
      </w:r>
      <w:r w:rsidRPr="00512670">
        <w:rPr>
          <w:rFonts w:ascii="Century Gothic" w:hAnsi="Century Gothic"/>
          <w:sz w:val="20"/>
          <w:szCs w:val="20"/>
        </w:rPr>
        <w:tab/>
      </w:r>
      <w:hyperlink r:id="rId10" w:history="1">
        <w:r w:rsidRPr="00512670">
          <w:rPr>
            <w:rStyle w:val="Hyperlink"/>
            <w:rFonts w:ascii="Century Gothic" w:hAnsi="Century Gothic"/>
            <w:sz w:val="20"/>
            <w:szCs w:val="20"/>
          </w:rPr>
          <w:t>media@</w:t>
        </w:r>
      </w:hyperlink>
      <w:r w:rsidRPr="00512670">
        <w:rPr>
          <w:rStyle w:val="Hyperlink"/>
          <w:rFonts w:ascii="Century Gothic" w:hAnsi="Century Gothic"/>
          <w:sz w:val="20"/>
          <w:szCs w:val="20"/>
        </w:rPr>
        <w:t>bmtqs.com.au</w:t>
      </w:r>
    </w:p>
    <w:p w14:paraId="62C69A1A" w14:textId="77777777" w:rsidR="002173A7" w:rsidRPr="00F55E4B" w:rsidRDefault="002173A7">
      <w:pPr>
        <w:spacing w:line="360" w:lineRule="auto"/>
        <w:rPr>
          <w:rFonts w:ascii="Century Gothic" w:hAnsi="Century Gothic"/>
          <w:b/>
          <w:sz w:val="18"/>
          <w:szCs w:val="18"/>
        </w:rPr>
      </w:pPr>
    </w:p>
    <w:p w14:paraId="58772247" w14:textId="77777777" w:rsidR="00D857C2" w:rsidRDefault="00D857C2">
      <w:pPr>
        <w:rPr>
          <w:rFonts w:ascii="Century Gothic" w:hAnsi="Century Gothic"/>
          <w:b/>
          <w:sz w:val="20"/>
          <w:szCs w:val="20"/>
        </w:rPr>
      </w:pPr>
      <w:r>
        <w:rPr>
          <w:rFonts w:ascii="Century Gothic" w:hAnsi="Century Gothic"/>
          <w:b/>
          <w:sz w:val="20"/>
          <w:szCs w:val="20"/>
        </w:rPr>
        <w:br w:type="page"/>
      </w:r>
    </w:p>
    <w:p w14:paraId="7812C7C2" w14:textId="2B89971E" w:rsidR="002173A7" w:rsidRPr="00512670" w:rsidRDefault="003A78C0">
      <w:pPr>
        <w:spacing w:line="360" w:lineRule="auto"/>
        <w:rPr>
          <w:rFonts w:ascii="Century Gothic" w:hAnsi="Century Gothic"/>
          <w:b/>
          <w:sz w:val="20"/>
          <w:szCs w:val="20"/>
        </w:rPr>
      </w:pPr>
      <w:r w:rsidRPr="00512670">
        <w:rPr>
          <w:rFonts w:ascii="Century Gothic" w:hAnsi="Century Gothic"/>
          <w:b/>
          <w:sz w:val="20"/>
          <w:szCs w:val="20"/>
        </w:rPr>
        <w:lastRenderedPageBreak/>
        <w:t>About BMT Tax Depreciation</w:t>
      </w:r>
    </w:p>
    <w:p w14:paraId="03866866" w14:textId="77777777" w:rsidR="002173A7" w:rsidRPr="00512670" w:rsidRDefault="003A78C0">
      <w:pPr>
        <w:spacing w:line="360" w:lineRule="auto"/>
        <w:rPr>
          <w:sz w:val="20"/>
          <w:szCs w:val="20"/>
        </w:rPr>
      </w:pPr>
      <w:r w:rsidRPr="00512670">
        <w:rPr>
          <w:rFonts w:ascii="Century Gothic" w:hAnsi="Century Gothic"/>
          <w:sz w:val="20"/>
          <w:szCs w:val="20"/>
        </w:rPr>
        <w:t xml:space="preserve">BMT Tax Depreciation (BMT) is a Quantity Surveying company </w:t>
      </w:r>
      <w:proofErr w:type="spellStart"/>
      <w:r w:rsidRPr="00512670">
        <w:rPr>
          <w:rFonts w:ascii="Century Gothic" w:hAnsi="Century Gothic"/>
          <w:sz w:val="20"/>
          <w:szCs w:val="20"/>
        </w:rPr>
        <w:t>specialising</w:t>
      </w:r>
      <w:proofErr w:type="spellEnd"/>
      <w:r w:rsidRPr="00512670">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14:paraId="565FBB8A" w14:textId="77777777" w:rsidR="002173A7" w:rsidRDefault="002173A7">
      <w:pPr>
        <w:tabs>
          <w:tab w:val="left" w:pos="2720"/>
        </w:tabs>
      </w:pPr>
    </w:p>
    <w:p w14:paraId="31AA7699" w14:textId="77777777" w:rsidR="002173A7" w:rsidRDefault="002173A7">
      <w:pPr>
        <w:tabs>
          <w:tab w:val="left" w:pos="2720"/>
        </w:tabs>
      </w:pPr>
    </w:p>
    <w:p w14:paraId="7394A0C6" w14:textId="77777777" w:rsidR="002173A7" w:rsidRDefault="002173A7">
      <w:pPr>
        <w:tabs>
          <w:tab w:val="left" w:pos="2720"/>
        </w:tabs>
      </w:pPr>
    </w:p>
    <w:p w14:paraId="27E8B9ED" w14:textId="77777777" w:rsidR="002173A7" w:rsidRDefault="002173A7">
      <w:pPr>
        <w:tabs>
          <w:tab w:val="left" w:pos="2720"/>
        </w:tabs>
      </w:pPr>
    </w:p>
    <w:p w14:paraId="26318574" w14:textId="77777777" w:rsidR="002173A7" w:rsidRDefault="002173A7">
      <w:pPr>
        <w:tabs>
          <w:tab w:val="left" w:pos="2720"/>
        </w:tabs>
      </w:pPr>
    </w:p>
    <w:p w14:paraId="54D96A23" w14:textId="77777777" w:rsidR="002173A7" w:rsidRDefault="002173A7">
      <w:pPr>
        <w:tabs>
          <w:tab w:val="left" w:pos="2720"/>
        </w:tabs>
      </w:pPr>
    </w:p>
    <w:p w14:paraId="33C9A6FE" w14:textId="77777777" w:rsidR="002173A7" w:rsidRDefault="002173A7">
      <w:pPr>
        <w:tabs>
          <w:tab w:val="left" w:pos="2720"/>
        </w:tabs>
      </w:pPr>
    </w:p>
    <w:p w14:paraId="5A1835CA" w14:textId="77777777" w:rsidR="002173A7" w:rsidRDefault="002173A7">
      <w:pPr>
        <w:tabs>
          <w:tab w:val="left" w:pos="2720"/>
        </w:tabs>
      </w:pPr>
    </w:p>
    <w:sectPr w:rsidR="002173A7">
      <w:headerReference w:type="default" r:id="rId11"/>
      <w:footerReference w:type="default" r:id="rId12"/>
      <w:headerReference w:type="first" r:id="rId13"/>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ED89" w14:textId="77777777" w:rsidR="002173A7" w:rsidRDefault="003A78C0">
      <w:r>
        <w:separator/>
      </w:r>
    </w:p>
  </w:endnote>
  <w:endnote w:type="continuationSeparator" w:id="0">
    <w:p w14:paraId="611978E8" w14:textId="77777777"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altName w:val="Calibri"/>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68EC" w14:textId="77777777" w:rsidR="002173A7" w:rsidRDefault="003A78C0">
    <w:pPr>
      <w:pStyle w:val="Footer"/>
    </w:pPr>
    <w:r>
      <w:rPr>
        <w:noProof/>
        <w:lang w:val="en-AU" w:eastAsia="en-AU"/>
      </w:rPr>
      <w:drawing>
        <wp:anchor distT="0" distB="0" distL="114300" distR="114300" simplePos="0" relativeHeight="251665408" behindDoc="0" locked="0" layoutInCell="1" allowOverlap="1" wp14:anchorId="3E2E3CA8" wp14:editId="0ED9BFD8">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9F96E" w14:textId="77777777"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6637" w14:textId="77777777" w:rsidR="002173A7" w:rsidRDefault="003A78C0">
      <w:r>
        <w:separator/>
      </w:r>
    </w:p>
  </w:footnote>
  <w:footnote w:type="continuationSeparator" w:id="0">
    <w:p w14:paraId="3A264608" w14:textId="77777777"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B069" w14:textId="77777777" w:rsidR="002173A7" w:rsidRDefault="003A78C0">
    <w:pPr>
      <w:pStyle w:val="Header"/>
    </w:pPr>
    <w:r>
      <w:rPr>
        <w:noProof/>
        <w:lang w:val="en-AU" w:eastAsia="en-AU"/>
      </w:rPr>
      <w:drawing>
        <wp:anchor distT="0" distB="0" distL="114300" distR="114300" simplePos="0" relativeHeight="251663360" behindDoc="0" locked="0" layoutInCell="1" allowOverlap="1" wp14:anchorId="6440C0CE" wp14:editId="233187AA">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56863" w14:textId="77777777"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D342" w14:textId="77777777" w:rsidR="002173A7" w:rsidRDefault="003A78C0">
    <w:pPr>
      <w:pStyle w:val="Header"/>
    </w:pPr>
    <w:r>
      <w:rPr>
        <w:noProof/>
        <w:lang w:val="en-AU" w:eastAsia="en-AU"/>
      </w:rPr>
      <w:drawing>
        <wp:anchor distT="0" distB="0" distL="114300" distR="114300" simplePos="0" relativeHeight="251667456" behindDoc="0" locked="0" layoutInCell="1" allowOverlap="1" wp14:anchorId="52A16788" wp14:editId="150DB0BD">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160D7" w14:textId="77777777"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56933"/>
    <w:multiLevelType w:val="hybridMultilevel"/>
    <w:tmpl w:val="529A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0C2801"/>
    <w:rsid w:val="00195BD3"/>
    <w:rsid w:val="002173A7"/>
    <w:rsid w:val="002578B0"/>
    <w:rsid w:val="003A78C0"/>
    <w:rsid w:val="00474E2F"/>
    <w:rsid w:val="005034B1"/>
    <w:rsid w:val="00512670"/>
    <w:rsid w:val="006977A9"/>
    <w:rsid w:val="006F7DEB"/>
    <w:rsid w:val="007E088C"/>
    <w:rsid w:val="0085342F"/>
    <w:rsid w:val="00CB28CF"/>
    <w:rsid w:val="00D857C2"/>
    <w:rsid w:val="00E32253"/>
    <w:rsid w:val="00E3657D"/>
    <w:rsid w:val="00EB4243"/>
    <w:rsid w:val="00F55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03CB8009"/>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6977A9"/>
    <w:pPr>
      <w:spacing w:before="60" w:after="60"/>
      <w:ind w:left="720"/>
      <w:contextualSpacing/>
    </w:pPr>
    <w:rPr>
      <w:rFonts w:ascii="Calibri" w:eastAsia="Calibri" w:hAnsi="Calibri" w:cs="Times New Roman"/>
      <w:sz w:val="22"/>
      <w:szCs w:val="22"/>
      <w:lang w:val="en-AU"/>
    </w:rPr>
  </w:style>
  <w:style w:type="character" w:styleId="UnresolvedMention">
    <w:name w:val="Unresolved Mention"/>
    <w:basedOn w:val="DefaultParagraphFont"/>
    <w:uiPriority w:val="99"/>
    <w:semiHidden/>
    <w:unhideWhenUsed/>
    <w:rsid w:val="000C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ia@" TargetMode="External"/><Relationship Id="rId4" Type="http://schemas.openxmlformats.org/officeDocument/2006/relationships/settings" Target="settings.xml"/><Relationship Id="rId9" Type="http://schemas.openxmlformats.org/officeDocument/2006/relationships/image" Target="cid:image005.png@01D579F8.32C74C7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A4BD3-5184-4E9C-A334-34283FFF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8</cp:revision>
  <cp:lastPrinted>2019-10-08T04:02:00Z</cp:lastPrinted>
  <dcterms:created xsi:type="dcterms:W3CDTF">2018-12-17T23:34:00Z</dcterms:created>
  <dcterms:modified xsi:type="dcterms:W3CDTF">2019-10-08T04:59:00Z</dcterms:modified>
</cp:coreProperties>
</file>